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b/>
        </w:rPr>
      </w:pPr>
      <w:r>
        <w:rPr>
          <w:b/>
          <w:lang w:val="en-US"/>
        </w:rPr>
        <w:t>Отчёт об итогах голосования</w:t>
      </w:r>
    </w:p>
    <w:p>
      <w:pPr>
        <w:pStyle w:val="style0"/>
        <w:jc w:val="center"/>
        <w:rPr>
          <w:b/>
        </w:rPr>
      </w:pPr>
      <w:r>
        <w:rPr>
          <w:b/>
          <w:lang w:val="en-US"/>
        </w:rPr>
        <w:t xml:space="preserve">на </w:t>
      </w:r>
      <w:r>
        <w:rPr>
          <w:b/>
        </w:rPr>
        <w:t>внеочередно</w:t>
      </w:r>
      <w:r>
        <w:rPr>
          <w:b/>
          <w:lang w:val="en-US"/>
        </w:rPr>
        <w:t>м о</w:t>
      </w:r>
      <w:r>
        <w:rPr>
          <w:b/>
        </w:rPr>
        <w:t>бще</w:t>
      </w:r>
      <w:r>
        <w:rPr>
          <w:b/>
          <w:lang w:val="en-US"/>
        </w:rPr>
        <w:t xml:space="preserve">м </w:t>
      </w:r>
      <w:r>
        <w:rPr>
          <w:b/>
        </w:rPr>
        <w:t>собрани</w:t>
      </w:r>
      <w:r>
        <w:rPr>
          <w:b/>
          <w:lang w:val="en-US"/>
        </w:rPr>
        <w:t>и а</w:t>
      </w:r>
      <w:r>
        <w:rPr>
          <w:b/>
        </w:rPr>
        <w:t>кционеров</w:t>
      </w:r>
    </w:p>
    <w:p>
      <w:pPr>
        <w:pStyle w:val="style0"/>
        <w:jc w:val="center"/>
        <w:rPr>
          <w:b/>
        </w:rPr>
      </w:pPr>
      <w:r>
        <w:rPr>
          <w:b/>
        </w:rPr>
        <w:t>Акционерное общество «Калининградский институт промышленного проектирования»</w:t>
      </w:r>
    </w:p>
    <w:p>
      <w:pPr>
        <w:pStyle w:val="style0"/>
        <w:jc w:val="center"/>
        <w:rPr>
          <w:b/>
        </w:rPr>
      </w:pPr>
      <w:r>
        <w:rPr>
          <w:b/>
        </w:rPr>
        <w:t>(АО «</w:t>
      </w:r>
      <w:r>
        <w:rPr>
          <w:b/>
        </w:rPr>
        <w:t>Калининградпромпроект</w:t>
      </w:r>
      <w:r>
        <w:rPr>
          <w:b/>
        </w:rPr>
        <w:t>»)</w:t>
      </w:r>
    </w:p>
    <w:p>
      <w:pPr>
        <w:pStyle w:val="style0"/>
        <w:spacing w:before="60"/>
        <w:jc w:val="center"/>
        <w:rPr>
          <w:b/>
        </w:rPr>
      </w:pPr>
      <w:r>
        <w:rPr>
          <w:b/>
        </w:rPr>
        <w:t>далее – «Общество»</w:t>
      </w:r>
    </w:p>
    <w:p>
      <w:pPr>
        <w:pStyle w:val="style0"/>
        <w:jc w:val="center"/>
        <w:rPr/>
      </w:pPr>
    </w:p>
    <w:p>
      <w:pPr>
        <w:pStyle w:val="style0"/>
        <w:rPr/>
      </w:pPr>
      <w:r>
        <w:tab/>
      </w:r>
      <w:r>
        <w:tab/>
      </w:r>
      <w:r>
        <w:tab/>
      </w:r>
      <w:r>
        <w:tab/>
      </w:r>
      <w:r>
        <w:tab/>
      </w:r>
    </w:p>
    <w:tbl>
      <w:tblPr>
        <w:tblW w:w="0" w:type="auto"/>
        <w:tblLook w:val="04A0" w:firstRow="1" w:lastRow="0" w:firstColumn="1" w:lastColumn="0" w:noHBand="0" w:noVBand="1"/>
      </w:tblPr>
      <w:tblGrid>
        <w:gridCol w:w="4950"/>
        <w:gridCol w:w="4765"/>
      </w:tblGrid>
      <w:tr>
        <w:trPr/>
        <w:tc>
          <w:tcPr>
            <w:tcW w:w="5238" w:type="dxa"/>
            <w:tcBorders/>
          </w:tcPr>
          <w:p>
            <w:pPr>
              <w:pStyle w:val="style0"/>
              <w:rPr/>
            </w:pPr>
            <w:r>
              <w:t xml:space="preserve">Место нахождения и адрес общества:  </w:t>
            </w:r>
          </w:p>
          <w:p>
            <w:pPr>
              <w:pStyle w:val="style0"/>
              <w:rPr/>
            </w:pPr>
            <w:r>
              <w:rPr>
                <w:color w:val="000000"/>
              </w:rPr>
              <w:t xml:space="preserve">236022, Калининградская обл., г. Калининград, </w:t>
            </w:r>
            <w:r>
              <w:rPr>
                <w:color w:val="000000"/>
              </w:rPr>
              <w:t>пр-кт</w:t>
            </w:r>
            <w:r>
              <w:rPr>
                <w:color w:val="000000"/>
              </w:rPr>
              <w:t xml:space="preserve"> Советский, д.12, офис 38</w:t>
            </w:r>
          </w:p>
        </w:tc>
        <w:tc>
          <w:tcPr>
            <w:tcW w:w="5238" w:type="dxa"/>
            <w:tcBorders/>
          </w:tcPr>
          <w:p>
            <w:pPr>
              <w:pStyle w:val="style0"/>
              <w:jc w:val="left"/>
              <w:rPr/>
            </w:pPr>
            <w:r>
              <w:t>.</w:t>
            </w:r>
          </w:p>
        </w:tc>
      </w:tr>
    </w:tbl>
    <w:p>
      <w:pPr>
        <w:pStyle w:val="style0"/>
        <w:rPr/>
      </w:pPr>
    </w:p>
    <w:p>
      <w:pPr>
        <w:pStyle w:val="style0"/>
        <w:rPr/>
      </w:pPr>
    </w:p>
    <w:p>
      <w:pPr>
        <w:pStyle w:val="style0"/>
        <w:jc w:val="both"/>
        <w:rPr>
          <w:color w:val="000000"/>
        </w:rPr>
      </w:pPr>
      <w:r>
        <w:rPr>
          <w:color w:val="000000"/>
        </w:rPr>
        <w:t>Вид общего собрания акционеров (далее - общее собрание): внеочередное</w:t>
      </w:r>
    </w:p>
    <w:p>
      <w:pPr>
        <w:pStyle w:val="style0"/>
        <w:jc w:val="both"/>
        <w:rPr>
          <w:color w:val="000000"/>
        </w:rPr>
      </w:pPr>
      <w:r>
        <w:rPr>
          <w:color w:val="000000"/>
        </w:rPr>
        <w:t>Форма проведения общего собрания: Заочное голосование</w:t>
      </w:r>
    </w:p>
    <w:p>
      <w:pPr>
        <w:pStyle w:val="style0"/>
        <w:jc w:val="both"/>
        <w:rPr>
          <w:color w:val="000000"/>
        </w:rPr>
      </w:pPr>
      <w:r>
        <w:rPr>
          <w:color w:val="000000"/>
        </w:rPr>
        <w:t xml:space="preserve">Дата определения (фиксации) лиц, имевших право на участие в общем собрании: </w:t>
      </w:r>
      <w:r>
        <w:rPr>
          <w:b/>
          <w:bCs/>
          <w:color w:val="000000"/>
        </w:rPr>
        <w:t>20 декабря 2020 года</w:t>
      </w:r>
    </w:p>
    <w:p>
      <w:pPr>
        <w:pStyle w:val="style0"/>
        <w:jc w:val="both"/>
        <w:rPr>
          <w:color w:val="000000"/>
        </w:rPr>
      </w:pPr>
      <w:r>
        <w:rPr>
          <w:color w:val="000000"/>
        </w:rPr>
        <w:t xml:space="preserve">Дата проведения общего собрания (дата окончания приема бюллетеней): </w:t>
      </w:r>
      <w:r>
        <w:rPr>
          <w:b/>
          <w:bCs/>
          <w:color w:val="000000"/>
        </w:rPr>
        <w:t>14 января 2021 года</w:t>
      </w:r>
      <w:r>
        <w:rPr>
          <w:color w:val="000000"/>
        </w:rPr>
        <w:t xml:space="preserve"> </w:t>
      </w:r>
    </w:p>
    <w:p>
      <w:pPr>
        <w:pStyle w:val="style0"/>
        <w:jc w:val="both"/>
        <w:rPr>
          <w:color w:val="000000"/>
        </w:rPr>
      </w:pPr>
      <w:r>
        <w:rPr>
          <w:color w:val="000000"/>
        </w:rPr>
        <w:t xml:space="preserve">Полное фирменное наименование, место нахождения и адрес регистратора, выполнявшего функции счетной комиссии (далее - регистратор): Акционерное общество «Независимая регистраторская компания Р.О.С.Т.»; 107076, г. Москва, ул. Стромынка, д. 18, корп. 5Б, помещение IX </w:t>
      </w:r>
    </w:p>
    <w:p>
      <w:pPr>
        <w:pStyle w:val="style0"/>
        <w:jc w:val="both"/>
        <w:rPr>
          <w:color w:val="000000"/>
        </w:rPr>
      </w:pPr>
      <w:r>
        <w:rPr>
          <w:color w:val="000000"/>
        </w:rPr>
        <w:t xml:space="preserve">Уполномоченное лицо регистратора: </w:t>
      </w:r>
      <w:r>
        <w:rPr>
          <w:color w:val="000000"/>
        </w:rPr>
        <w:t>Армичева</w:t>
      </w:r>
      <w:r>
        <w:rPr>
          <w:color w:val="000000"/>
        </w:rPr>
        <w:t xml:space="preserve"> Марина Владимировна по доверенности № 165 от 05.02.2019</w:t>
      </w:r>
    </w:p>
    <w:p>
      <w:pPr>
        <w:pStyle w:val="style0"/>
        <w:jc w:val="both"/>
        <w:rPr>
          <w:color w:val="000000"/>
        </w:rPr>
      </w:pPr>
    </w:p>
    <w:p>
      <w:pPr>
        <w:pStyle w:val="style0"/>
        <w:jc w:val="both"/>
        <w:rPr/>
      </w:pPr>
    </w:p>
    <w:p>
      <w:pPr>
        <w:pStyle w:val="style0"/>
        <w:jc w:val="both"/>
        <w:rPr/>
      </w:pPr>
      <w:r>
        <w:t xml:space="preserve">В </w:t>
      </w:r>
      <w:r>
        <w:rPr>
          <w:lang w:val="en-US"/>
        </w:rPr>
        <w:t>Отчёте о</w:t>
      </w:r>
      <w:r>
        <w:t>б итогах голосования на общем собрании используется следующий термин: Положение - Положение Банка России «Об общих собраниях акционеров» от 16.11.2018 г. № 660-П.</w:t>
      </w:r>
    </w:p>
    <w:p>
      <w:pPr>
        <w:pStyle w:val="style0"/>
        <w:rPr>
          <w:color w:val="000000"/>
        </w:rPr>
      </w:pPr>
      <w:r>
        <w:rPr>
          <w:color w:val="000000"/>
        </w:rPr>
        <w:t>Число голосов, которыми обладали лица, включенные в список лиц, имевших право на участие в общем собрании, по каждому вопросу повестки дня - 126 925.</w:t>
      </w:r>
    </w:p>
    <w:p>
      <w:pPr>
        <w:pStyle w:val="style0"/>
        <w:rPr>
          <w:color w:val="000000"/>
        </w:rPr>
      </w:pPr>
      <w:r>
        <w:rPr>
          <w:color w:val="000000"/>
        </w:rPr>
        <w:t>Число голосов, которыми обладали лица, принявшие участие в общем собрании, по каждому вопросу повестки дня - 102</w:t>
      </w:r>
      <w:r>
        <w:rPr>
          <w:color w:val="000000"/>
        </w:rPr>
        <w:t> </w:t>
      </w:r>
      <w:r>
        <w:rPr>
          <w:color w:val="000000"/>
        </w:rPr>
        <w:t>567.</w:t>
      </w:r>
    </w:p>
    <w:p>
      <w:pPr>
        <w:pStyle w:val="style0"/>
        <w:rPr>
          <w:color w:val="000000"/>
        </w:rPr>
      </w:pPr>
      <w:r>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определенное с учетом положений пункта 4.24 Положения - 126 925 </w:t>
      </w:r>
    </w:p>
    <w:p>
      <w:pPr>
        <w:pStyle w:val="style0"/>
        <w:rPr>
          <w:color w:val="000000"/>
        </w:rPr>
      </w:pPr>
      <w:r>
        <w:rPr>
          <w:color w:val="000000"/>
          <w:lang w:val="en-US"/>
        </w:rPr>
        <w:t>Число голосов, которыми по данному вопросу обладали лица, не заинтересованные в совершении обществом сделки, принявшие участие в общем собрании - 102 567.</w:t>
      </w:r>
    </w:p>
    <w:p>
      <w:pPr>
        <w:pStyle w:val="style0"/>
        <w:rPr>
          <w:color w:val="000000"/>
        </w:rPr>
      </w:pPr>
      <w:r>
        <w:rPr>
          <w:color w:val="000000"/>
        </w:rPr>
        <w:t xml:space="preserve">КВОРУМ от принявших участие по каждому вопросу имелся </w:t>
      </w:r>
      <w:r>
        <w:rPr>
          <w:color w:val="000000"/>
        </w:rPr>
        <w:t>–</w:t>
      </w:r>
      <w:r>
        <w:rPr>
          <w:color w:val="000000"/>
        </w:rPr>
        <w:t xml:space="preserve"> 80</w:t>
      </w:r>
      <w:r>
        <w:rPr>
          <w:color w:val="000000"/>
        </w:rPr>
        <w:t>,</w:t>
      </w:r>
      <w:r>
        <w:rPr>
          <w:color w:val="000000"/>
        </w:rPr>
        <w:t>8091%</w:t>
      </w:r>
    </w:p>
    <w:p>
      <w:pPr>
        <w:pStyle w:val="style0"/>
        <w:rPr>
          <w:color w:val="000000"/>
        </w:rPr>
      </w:pPr>
    </w:p>
    <w:p>
      <w:pPr>
        <w:pStyle w:val="style0"/>
        <w:rPr>
          <w:color w:val="000000"/>
        </w:rPr>
      </w:pPr>
      <w:r>
        <w:rPr>
          <w:color w:val="000000"/>
        </w:rPr>
        <w:t>Руководитель администрации</w:t>
      </w:r>
      <w:r>
        <w:rPr>
          <w:color w:val="000000"/>
        </w:rPr>
        <w:t xml:space="preserve"> собрания (председатель)</w:t>
      </w:r>
      <w:r>
        <w:rPr>
          <w:color w:val="000000"/>
        </w:rPr>
        <w:t xml:space="preserve"> </w:t>
      </w:r>
      <w:r>
        <w:rPr>
          <w:color w:val="000000"/>
        </w:rPr>
        <w:t>–</w:t>
      </w:r>
      <w:r>
        <w:rPr>
          <w:color w:val="000000"/>
        </w:rPr>
        <w:t xml:space="preserve"> </w:t>
      </w:r>
      <w:r>
        <w:rPr>
          <w:color w:val="000000"/>
        </w:rPr>
        <w:t>Болычев</w:t>
      </w:r>
      <w:r>
        <w:rPr>
          <w:color w:val="000000"/>
        </w:rPr>
        <w:t xml:space="preserve"> В.В.</w:t>
      </w:r>
      <w:r>
        <w:rPr>
          <w:color w:val="000000"/>
        </w:rPr>
        <w:t>,</w:t>
      </w:r>
      <w:r>
        <w:rPr>
          <w:color w:val="000000"/>
        </w:rPr>
        <w:t xml:space="preserve">  секретарь</w:t>
      </w:r>
      <w:r>
        <w:rPr>
          <w:color w:val="000000"/>
        </w:rPr>
        <w:t xml:space="preserve"> собрания – Левченко А.Б.</w:t>
      </w:r>
      <w:r>
        <w:rPr>
          <w:color w:val="000000"/>
        </w:rPr>
        <w:t>, назначенные решением Наблюдательного совета Общества (Протокол № 12 от 07.12.2020 г.).</w:t>
      </w:r>
    </w:p>
    <w:p>
      <w:pPr>
        <w:pStyle w:val="style0"/>
        <w:rPr>
          <w:color w:val="000000"/>
        </w:rPr>
      </w:pPr>
    </w:p>
    <w:p>
      <w:pPr>
        <w:pStyle w:val="style0"/>
        <w:spacing w:after="80"/>
        <w:jc w:val="center"/>
        <w:rPr>
          <w:b/>
        </w:rPr>
      </w:pPr>
      <w:r>
        <w:rPr>
          <w:b/>
        </w:rPr>
        <w:t>Повестка дня:</w:t>
      </w:r>
    </w:p>
    <w:p>
      <w:pPr>
        <w:pStyle w:val="style179"/>
        <w:numPr>
          <w:ilvl w:val="0"/>
          <w:numId w:val="7"/>
        </w:numPr>
        <w:spacing w:after="120"/>
        <w:ind w:left="709" w:hanging="357"/>
        <w:jc w:val="both"/>
        <w:contextualSpacing w:val="false"/>
        <w:rPr/>
      </w:pPr>
      <w:r>
        <w:t>Одобрение крупной сделки и сделки с заинтересованностью: продажа АО «</w:t>
      </w:r>
      <w:r>
        <w:t>Калининградпромпроект</w:t>
      </w:r>
      <w:r>
        <w:t xml:space="preserve">» принадлежащей ему доли в уставном капитале общества с ограниченной ответственностью «КПП 1» (ОГРН 1203900013085, ИНН 3906395699) в размере 100% (ста процентов), номинальной стоимостью 78 306 000,00 (Семьдесят восемь миллионов триста шесть тысяч) рублей, гражданину Болычеву Вадиму Викторовичу за 78 306 000,00 (Семьдесят восемь миллионов триста шесть тысяч) рублей, на следующих условиях: 1) оплата производится покупателем в течение 18 (восемнадцати) месяцев с момента заключения сторонами </w:t>
      </w:r>
      <w:r>
        <w:t>договора купли-продажи доли; 2) до момента окончательного расчёта покупателя с продавцом приобретаемое имущество не считается находящимся в залоге у продавца.</w:t>
      </w:r>
    </w:p>
    <w:p>
      <w:pPr>
        <w:pStyle w:val="style179"/>
        <w:numPr>
          <w:ilvl w:val="0"/>
          <w:numId w:val="7"/>
        </w:numPr>
        <w:spacing w:after="40"/>
        <w:ind w:left="709" w:hanging="357"/>
        <w:jc w:val="both"/>
        <w:contextualSpacing w:val="false"/>
        <w:rPr/>
      </w:pPr>
      <w:r>
        <w:t>Одобрение крупной сделки и сделки с заинтересованностью: продажа АО «</w:t>
      </w:r>
      <w:r>
        <w:t>Калининградпромпроект</w:t>
      </w:r>
      <w:r>
        <w:t>» принадлежащей ему доли в уставном капитале общества с ограниченной ответственностью «КПП 2» (ОГРН 1203900014273, ИНН 3906396646) в размере 100% (ста процентов), номинальной стоимостью 121 1</w:t>
      </w:r>
      <w:r>
        <w:rPr>
          <w:lang w:val="en-US"/>
        </w:rPr>
        <w:t xml:space="preserve">03 </w:t>
      </w:r>
      <w:r>
        <w:t>000,00 (сто двадцать один миллион</w:t>
      </w:r>
      <w:r>
        <w:t xml:space="preserve"> сто</w:t>
      </w:r>
      <w:r>
        <w:t xml:space="preserve"> </w:t>
      </w:r>
      <w:r>
        <w:t>т</w:t>
      </w:r>
      <w:r>
        <w:rPr>
          <w:lang w:val="en-US"/>
        </w:rPr>
        <w:t>ри ты</w:t>
      </w:r>
      <w:r>
        <w:t>сяч</w:t>
      </w:r>
      <w:r>
        <w:rPr>
          <w:lang w:val="en-US"/>
        </w:rPr>
        <w:t>и</w:t>
      </w:r>
      <w:r>
        <w:t xml:space="preserve">) рублей, гражданину Болычеву Вадиму Викторовичу за </w:t>
      </w:r>
      <w:r>
        <w:t>121 1</w:t>
      </w:r>
      <w:r>
        <w:rPr>
          <w:lang w:val="en-US"/>
        </w:rPr>
        <w:t>0</w:t>
      </w:r>
      <w:r>
        <w:t xml:space="preserve">3 000,00 (сто двадцать один миллион </w:t>
      </w:r>
      <w:r>
        <w:t xml:space="preserve">сто </w:t>
      </w:r>
      <w:r>
        <w:t>три</w:t>
      </w:r>
      <w:r>
        <w:rPr>
          <w:lang w:val="en-US"/>
        </w:rPr>
        <w:t xml:space="preserve"> </w:t>
      </w:r>
      <w:r>
        <w:t>тысяч</w:t>
      </w:r>
      <w:r>
        <w:rPr>
          <w:lang w:val="en-US"/>
        </w:rPr>
        <w:t>и)</w:t>
      </w:r>
      <w:r>
        <w:t xml:space="preserve"> рублей, на следующих условиях: 1) оплата производится покупателем в течение 18 (восемнадцати) месяцев с момента заключения сторонами договора купли-продажи доли; 2) до момента окончательного расчёта покупателя с продавцом приобретаемое имущество не считается находящимся в залоге у продавца.</w:t>
      </w:r>
    </w:p>
    <w:p>
      <w:pPr>
        <w:pStyle w:val="style179"/>
        <w:spacing w:after="40"/>
        <w:ind w:left="709"/>
        <w:jc w:val="both"/>
        <w:contextualSpacing w:val="false"/>
        <w:rPr/>
      </w:pPr>
    </w:p>
    <w:p>
      <w:pPr>
        <w:pStyle w:val="style0"/>
        <w:jc w:val="both"/>
        <w:rPr/>
      </w:pPr>
      <w:r>
        <w:t>Число голосов, которыми обладали лица, включенные в список лиц, имевших право на участие в общем собрании, по вопросу повестки дня общего собрания, далее в тексте «Ч1».</w:t>
      </w:r>
    </w:p>
    <w:p>
      <w:pPr>
        <w:pStyle w:val="style0"/>
        <w:jc w:val="both"/>
        <w:rPr/>
      </w:pPr>
      <w:r>
        <w:t>Число голосов, приходившихся на голосующие акции общества по вопросу повестки дня общего собрания, далее в тексте «Ч2».</w:t>
      </w:r>
    </w:p>
    <w:p>
      <w:pPr>
        <w:pStyle w:val="style0"/>
        <w:jc w:val="both"/>
        <w:rPr>
          <w:color w:val="000000"/>
        </w:rPr>
      </w:pPr>
      <w:r>
        <w:t>Число голосов, которыми обладали лица, принявшие участие в общем собрании, по вопросу повестки дня общего собрания, далее в тексте «Ч3».</w:t>
      </w:r>
    </w:p>
    <w:p>
      <w:pPr>
        <w:pStyle w:val="style0"/>
        <w:ind w:left="720"/>
        <w:jc w:val="both"/>
        <w:rPr/>
      </w:pPr>
    </w:p>
    <w:p>
      <w:pPr>
        <w:pStyle w:val="style0"/>
        <w:ind w:left="720"/>
        <w:jc w:val="both"/>
        <w:rPr/>
      </w:pPr>
    </w:p>
    <w:p>
      <w:pPr>
        <w:pStyle w:val="style0"/>
        <w:spacing w:after="120"/>
        <w:ind w:left="-284"/>
        <w:jc w:val="both"/>
        <w:rPr>
          <w:b/>
        </w:rPr>
      </w:pPr>
      <w:r>
        <w:rPr>
          <w:b/>
        </w:rPr>
        <w:t>1.  ПО ПЕРВОМУ ВОПРОСУ:</w:t>
      </w:r>
    </w:p>
    <w:p>
      <w:pPr>
        <w:pStyle w:val="style0"/>
        <w:ind w:left="-142"/>
        <w:jc w:val="both"/>
        <w:rPr>
          <w:color w:val="000000"/>
        </w:rPr>
      </w:pPr>
      <w:r>
        <w:rPr>
          <w:color w:val="000000"/>
        </w:rPr>
        <w:t>Ч1=</w:t>
      </w:r>
      <w:r>
        <w:rPr>
          <w:color w:val="000000"/>
        </w:rPr>
        <w:t>126 925</w:t>
      </w:r>
      <w:r>
        <w:rPr>
          <w:color w:val="000000"/>
        </w:rPr>
        <w:t xml:space="preserve">, Ч2= </w:t>
      </w:r>
      <w:r>
        <w:rPr>
          <w:color w:val="000000"/>
        </w:rPr>
        <w:t>126 925</w:t>
      </w:r>
      <w:r>
        <w:rPr>
          <w:color w:val="000000"/>
        </w:rPr>
        <w:t>, Ч3=</w:t>
      </w:r>
      <w:r>
        <w:rPr>
          <w:color w:val="000000"/>
        </w:rPr>
        <w:t>102 567</w:t>
      </w:r>
      <w:r>
        <w:rPr>
          <w:color w:val="000000"/>
        </w:rPr>
        <w:t xml:space="preserve">. </w:t>
      </w:r>
    </w:p>
    <w:p>
      <w:pPr>
        <w:pStyle w:val="style0"/>
        <w:ind w:left="-142"/>
        <w:jc w:val="both"/>
        <w:rPr>
          <w:color w:val="000000"/>
        </w:rPr>
      </w:pPr>
      <w:r>
        <w:rPr>
          <w:color w:val="000000"/>
        </w:rPr>
        <w:t xml:space="preserve">КВОРУМ по данному вопросу повестки дня имелся </w:t>
      </w:r>
      <w:r>
        <w:rPr>
          <w:b/>
          <w:color w:val="000000"/>
        </w:rPr>
        <w:t>80,8091</w:t>
      </w:r>
      <w:r>
        <w:rPr>
          <w:color w:val="000000"/>
        </w:rPr>
        <w:t>%</w:t>
      </w:r>
    </w:p>
    <w:p>
      <w:pPr>
        <w:pStyle w:val="style0"/>
        <w:jc w:val="both"/>
        <w:rPr>
          <w:b/>
          <w:i/>
        </w:rPr>
      </w:pPr>
    </w:p>
    <w:p>
      <w:pPr>
        <w:pStyle w:val="style0"/>
        <w:spacing w:after="60"/>
        <w:jc w:val="both"/>
        <w:rPr>
          <w:b/>
        </w:rPr>
      </w:pPr>
      <w:r>
        <w:rPr>
          <w:b/>
        </w:rPr>
        <w:t>ПОСТАНОВИЛИ ПО ПЕРВОМУ ВОПРОСУ:</w:t>
      </w:r>
    </w:p>
    <w:p>
      <w:pPr>
        <w:pStyle w:val="style0"/>
        <w:tabs>
          <w:tab w:val="left" w:leader="none" w:pos="426"/>
        </w:tabs>
        <w:jc w:val="both"/>
        <w:rPr>
          <w:color w:val="000000"/>
        </w:rPr>
      </w:pPr>
      <w:r>
        <w:rPr>
          <w:color w:val="000000"/>
        </w:rPr>
        <w:t>Одобрить совершение Обществом крупной сделки и сделки с заинтересованностью: продажа АО «</w:t>
      </w:r>
      <w:r>
        <w:rPr>
          <w:color w:val="000000"/>
        </w:rPr>
        <w:t>Калининградпромпроект</w:t>
      </w:r>
      <w:r>
        <w:rPr>
          <w:color w:val="000000"/>
        </w:rPr>
        <w:t>» принадлежащей ему доли в уставном капитале общества с ограниченной ответственностью «КПП 1» (ОГРН 1203900013085, ИНН 3906395699) в размере 100% (ста процентов), номинальной стоимостью 78 306 000,00 (Семьдесят восемь миллионов триста шесть тысяч) рублей, гражданину Болычеву Вадиму Викторовичу за 78 306 000,00 (Семьдесят восемь миллионов триста шесть тысяч) рублей, на следующих условиях: 1) оплата производится покупателем в течение 18 (восемнадцати) месяцев с момента заключения сторонами договора купли-продажи доли; 2) до момента окончательного расчёта покупателя с продавцом приобретаемое имущество не считается находящимся в залоге у продавца.</w:t>
      </w:r>
    </w:p>
    <w:p>
      <w:pPr>
        <w:pStyle w:val="style0"/>
        <w:tabs>
          <w:tab w:val="left" w:leader="none" w:pos="426"/>
        </w:tabs>
        <w:jc w:val="bo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555"/>
        <w:gridCol w:w="1536"/>
        <w:gridCol w:w="1181"/>
        <w:gridCol w:w="1396"/>
        <w:gridCol w:w="2191"/>
        <w:gridCol w:w="1102"/>
      </w:tblGrid>
      <w:tr>
        <w:trPr/>
        <w:tc>
          <w:tcPr>
            <w:tcW w:w="1809" w:type="dxa"/>
            <w:tcBorders>
              <w:top w:val="single" w:sz="4" w:space="0" w:color="auto"/>
              <w:left w:val="single" w:sz="4" w:space="0" w:color="auto"/>
              <w:bottom w:val="single" w:sz="4" w:space="0" w:color="auto"/>
              <w:right w:val="single" w:sz="4" w:space="0" w:color="auto"/>
            </w:tcBorders>
            <w:hideMark/>
          </w:tcPr>
          <w:p>
            <w:pPr>
              <w:pStyle w:val="style0"/>
              <w:jc w:val="both"/>
              <w:rPr>
                <w:b/>
                <w:color w:val="000000"/>
              </w:rPr>
            </w:pPr>
            <w:r>
              <w:rPr>
                <w:b/>
                <w:color w:val="000000"/>
              </w:rPr>
              <w:t>Голосовали</w:t>
            </w:r>
          </w:p>
        </w:tc>
        <w:tc>
          <w:tcPr>
            <w:tcW w:w="567" w:type="dxa"/>
            <w:tcBorders>
              <w:top w:val="single" w:sz="4" w:space="0" w:color="auto"/>
              <w:left w:val="single" w:sz="4" w:space="0" w:color="auto"/>
              <w:bottom w:val="single" w:sz="4" w:space="0" w:color="auto"/>
              <w:right w:val="single" w:sz="4" w:space="0" w:color="auto"/>
            </w:tcBorders>
            <w:hideMark/>
          </w:tcPr>
          <w:p>
            <w:pPr>
              <w:pStyle w:val="style0"/>
              <w:jc w:val="both"/>
              <w:rPr>
                <w:b/>
                <w:color w:val="000000"/>
              </w:rPr>
            </w:pPr>
            <w:r>
              <w:rPr>
                <w:b/>
                <w:color w:val="000000"/>
              </w:rPr>
              <w:t>ЗА</w:t>
            </w:r>
          </w:p>
        </w:tc>
        <w:tc>
          <w:tcPr>
            <w:tcW w:w="1839" w:type="dxa"/>
            <w:tcBorders>
              <w:top w:val="single" w:sz="4" w:space="0" w:color="auto"/>
              <w:left w:val="single" w:sz="4" w:space="0" w:color="auto"/>
              <w:bottom w:val="single" w:sz="4" w:space="0" w:color="auto"/>
              <w:right w:val="single" w:sz="4" w:space="0" w:color="auto"/>
            </w:tcBorders>
            <w:hideMark/>
          </w:tcPr>
          <w:p>
            <w:pPr>
              <w:pStyle w:val="style0"/>
              <w:jc w:val="both"/>
              <w:rPr>
                <w:b/>
                <w:color w:val="000000"/>
              </w:rPr>
            </w:pPr>
            <w:r>
              <w:rPr>
                <w:b/>
                <w:color w:val="000000"/>
              </w:rPr>
              <w:t>81 964</w:t>
            </w:r>
          </w:p>
        </w:tc>
        <w:tc>
          <w:tcPr>
            <w:tcW w:w="1158" w:type="dxa"/>
            <w:tcBorders>
              <w:top w:val="single" w:sz="4" w:space="0" w:color="auto"/>
              <w:left w:val="single" w:sz="4" w:space="0" w:color="auto"/>
              <w:bottom w:val="single" w:sz="4" w:space="0" w:color="auto"/>
              <w:right w:val="single" w:sz="4" w:space="0" w:color="auto"/>
            </w:tcBorders>
            <w:hideMark/>
          </w:tcPr>
          <w:p>
            <w:pPr>
              <w:pStyle w:val="style0"/>
              <w:jc w:val="both"/>
              <w:rPr>
                <w:b/>
                <w:color w:val="000000"/>
              </w:rPr>
            </w:pPr>
            <w:r>
              <w:rPr>
                <w:b/>
                <w:color w:val="000000"/>
              </w:rPr>
              <w:t>ПРОТИВ</w:t>
            </w:r>
          </w:p>
        </w:tc>
        <w:tc>
          <w:tcPr>
            <w:tcW w:w="1652" w:type="dxa"/>
            <w:tcBorders>
              <w:top w:val="single" w:sz="4" w:space="0" w:color="auto"/>
              <w:left w:val="single" w:sz="4" w:space="0" w:color="auto"/>
              <w:bottom w:val="single" w:sz="4" w:space="0" w:color="auto"/>
              <w:right w:val="single" w:sz="4" w:space="0" w:color="auto"/>
            </w:tcBorders>
            <w:hideMark/>
          </w:tcPr>
          <w:p>
            <w:pPr>
              <w:pStyle w:val="style0"/>
              <w:jc w:val="both"/>
              <w:rPr>
                <w:b/>
                <w:color w:val="000000"/>
              </w:rPr>
            </w:pPr>
            <w:r>
              <w:rPr>
                <w:b/>
                <w:color w:val="000000"/>
              </w:rPr>
              <w:t>20 603</w:t>
            </w:r>
          </w:p>
        </w:tc>
        <w:tc>
          <w:tcPr>
            <w:tcW w:w="2099" w:type="dxa"/>
            <w:tcBorders>
              <w:top w:val="single" w:sz="4" w:space="0" w:color="auto"/>
              <w:left w:val="single" w:sz="4" w:space="0" w:color="auto"/>
              <w:bottom w:val="single" w:sz="4" w:space="0" w:color="auto"/>
              <w:right w:val="single" w:sz="4" w:space="0" w:color="auto"/>
            </w:tcBorders>
            <w:hideMark/>
          </w:tcPr>
          <w:p>
            <w:pPr>
              <w:pStyle w:val="style0"/>
              <w:jc w:val="both"/>
              <w:rPr>
                <w:b/>
                <w:color w:val="000000"/>
              </w:rPr>
            </w:pPr>
            <w:r>
              <w:rPr>
                <w:b/>
                <w:color w:val="000000"/>
              </w:rPr>
              <w:t>ВОЗДЕРЖАЛИСЬ</w:t>
            </w:r>
          </w:p>
        </w:tc>
        <w:tc>
          <w:tcPr>
            <w:tcW w:w="1352" w:type="dxa"/>
            <w:tcBorders>
              <w:top w:val="single" w:sz="4" w:space="0" w:color="auto"/>
              <w:left w:val="single" w:sz="4" w:space="0" w:color="auto"/>
              <w:bottom w:val="single" w:sz="4" w:space="0" w:color="auto"/>
              <w:right w:val="single" w:sz="4" w:space="0" w:color="auto"/>
            </w:tcBorders>
            <w:hideMark/>
          </w:tcPr>
          <w:p>
            <w:pPr>
              <w:pStyle w:val="style0"/>
              <w:jc w:val="both"/>
              <w:rPr>
                <w:b/>
                <w:color w:val="000000"/>
              </w:rPr>
            </w:pPr>
            <w:r>
              <w:rPr>
                <w:b/>
                <w:color w:val="000000"/>
              </w:rPr>
              <w:t>0</w:t>
            </w:r>
          </w:p>
        </w:tc>
      </w:tr>
    </w:tbl>
    <w:p>
      <w:pPr>
        <w:pStyle w:val="style0"/>
        <w:spacing w:before="60"/>
        <w:jc w:val="both"/>
        <w:rPr>
          <w:u w:val="single"/>
        </w:rPr>
      </w:pPr>
      <w:r>
        <w:rPr>
          <w:u w:val="single"/>
        </w:rPr>
        <w:t>РЕШЕНИЕ ПРИНЯТО</w:t>
      </w:r>
    </w:p>
    <w:p>
      <w:pPr>
        <w:pStyle w:val="style0"/>
        <w:jc w:val="both"/>
        <w:rPr>
          <w:b/>
        </w:rPr>
      </w:pPr>
    </w:p>
    <w:p>
      <w:pPr>
        <w:pStyle w:val="style0"/>
        <w:jc w:val="both"/>
        <w:rPr>
          <w:b/>
        </w:rPr>
      </w:pPr>
    </w:p>
    <w:p>
      <w:pPr>
        <w:pStyle w:val="style0"/>
        <w:jc w:val="both"/>
        <w:rPr>
          <w:b/>
        </w:rPr>
      </w:pPr>
    </w:p>
    <w:p>
      <w:pPr>
        <w:pStyle w:val="style0"/>
        <w:spacing w:after="60"/>
        <w:ind w:left="-284"/>
        <w:jc w:val="both"/>
        <w:rPr>
          <w:b/>
        </w:rPr>
      </w:pPr>
      <w:r>
        <w:rPr>
          <w:b/>
        </w:rPr>
        <w:t>2.  ПО ВТОРОМУ ВОПРОСУ:</w:t>
      </w:r>
    </w:p>
    <w:p>
      <w:pPr>
        <w:pStyle w:val="style0"/>
        <w:ind w:left="-142"/>
        <w:jc w:val="both"/>
        <w:rPr>
          <w:color w:val="000000"/>
        </w:rPr>
      </w:pPr>
      <w:r>
        <w:rPr>
          <w:color w:val="000000"/>
        </w:rPr>
        <w:t xml:space="preserve">Ч1=126 925, Ч2= 126 925, Ч3=102 567. </w:t>
      </w:r>
    </w:p>
    <w:p>
      <w:pPr>
        <w:pStyle w:val="style0"/>
        <w:ind w:left="-142"/>
        <w:jc w:val="both"/>
        <w:rPr>
          <w:color w:val="000000"/>
        </w:rPr>
      </w:pPr>
      <w:r>
        <w:rPr>
          <w:color w:val="000000"/>
        </w:rPr>
        <w:t xml:space="preserve">КВОРУМ по данному вопросу повестки дня имелся </w:t>
      </w:r>
      <w:r>
        <w:rPr>
          <w:b/>
          <w:color w:val="000000"/>
        </w:rPr>
        <w:t>80,8091</w:t>
      </w:r>
      <w:r>
        <w:rPr>
          <w:color w:val="000000"/>
        </w:rPr>
        <w:t>%</w:t>
      </w:r>
    </w:p>
    <w:p>
      <w:pPr>
        <w:pStyle w:val="style0"/>
        <w:jc w:val="both"/>
        <w:rPr>
          <w:b/>
          <w:i/>
        </w:rPr>
      </w:pPr>
    </w:p>
    <w:p>
      <w:pPr>
        <w:pStyle w:val="style0"/>
        <w:spacing w:after="60"/>
        <w:jc w:val="both"/>
        <w:rPr>
          <w:b/>
        </w:rPr>
      </w:pPr>
      <w:r>
        <w:rPr>
          <w:b/>
        </w:rPr>
        <w:t>ПОСТАНОВИЛИ  ПО</w:t>
      </w:r>
      <w:r>
        <w:rPr>
          <w:b/>
        </w:rPr>
        <w:t xml:space="preserve"> ВТОРОМУ ВОПРОСУ:</w:t>
      </w:r>
    </w:p>
    <w:p>
      <w:pPr>
        <w:pStyle w:val="style179"/>
        <w:spacing w:after="40"/>
        <w:ind w:left="0"/>
        <w:jc w:val="both"/>
        <w:contextualSpacing w:val="false"/>
        <w:rPr/>
      </w:pPr>
      <w:r>
        <w:t>Одобрение крупной сделки и сделки с заинтересованностью: продажа АО «</w:t>
      </w:r>
      <w:r>
        <w:t>Калининградпромпроект</w:t>
      </w:r>
      <w:r>
        <w:t xml:space="preserve">» принадлежащей ему доли в уставном капитале общества с </w:t>
      </w:r>
      <w:r>
        <w:t>ограниченной ответственностью «КПП 2» (ОГРН 1203900014273, ИНН 3906396646) в размере 100% (ста процентов), номинальной стоимостью 121 1</w:t>
      </w:r>
      <w:r>
        <w:rPr>
          <w:lang w:val="en-US"/>
        </w:rPr>
        <w:t>03</w:t>
      </w:r>
      <w:r>
        <w:t xml:space="preserve"> 000,00 (сто двадцать один миллион сто три</w:t>
      </w:r>
      <w:r>
        <w:rPr>
          <w:lang w:val="en-US"/>
        </w:rPr>
        <w:t xml:space="preserve"> тысячи) р</w:t>
      </w:r>
      <w:r>
        <w:t>ублей, гражданину Болычеву Вадиму Викторовичу за 121 1</w:t>
      </w:r>
      <w:r>
        <w:rPr>
          <w:lang w:val="en-US"/>
        </w:rPr>
        <w:t>03</w:t>
      </w:r>
      <w:r>
        <w:t xml:space="preserve"> 000,00 (сто двадцать один миллион сто три</w:t>
      </w:r>
      <w:r>
        <w:rPr>
          <w:lang w:val="en-US"/>
        </w:rPr>
        <w:t xml:space="preserve"> т</w:t>
      </w:r>
      <w:r>
        <w:t>ысяч</w:t>
      </w:r>
      <w:r>
        <w:rPr>
          <w:lang w:val="en-US"/>
        </w:rPr>
        <w:t>и) рубл</w:t>
      </w:r>
      <w:r>
        <w:t>ей, на следующих условиях: 1) оплата производится покупателем в течение 18 (восемнадцати) месяцев с момента заключения сторонами договора купли-продажи доли; 2) до момента окончательного расчёта покупателя с продавцом приобретаемое имущество не считается находящимся в залоге у продавца.</w:t>
      </w:r>
    </w:p>
    <w:p>
      <w:pPr>
        <w:pStyle w:val="style179"/>
        <w:ind w:left="0" w:firstLine="567"/>
        <w:jc w:val="both"/>
        <w:rPr>
          <w:color w:val="000000"/>
        </w:rPr>
      </w:pPr>
    </w:p>
    <w:p>
      <w:pPr>
        <w:pStyle w:val="style179"/>
        <w:tabs>
          <w:tab w:val="left" w:leader="none" w:pos="426"/>
        </w:tabs>
        <w:ind w:left="644"/>
        <w:jc w:val="bo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553"/>
        <w:gridCol w:w="1556"/>
        <w:gridCol w:w="1201"/>
        <w:gridCol w:w="1361"/>
        <w:gridCol w:w="2191"/>
        <w:gridCol w:w="1126"/>
      </w:tblGrid>
      <w:tr>
        <w:trPr/>
        <w:tc>
          <w:tcPr>
            <w:tcW w:w="1728" w:type="dxa"/>
            <w:tcBorders>
              <w:top w:val="single" w:sz="4" w:space="0" w:color="auto"/>
              <w:left w:val="single" w:sz="4" w:space="0" w:color="auto"/>
              <w:bottom w:val="single" w:sz="4" w:space="0" w:color="auto"/>
              <w:right w:val="single" w:sz="4" w:space="0" w:color="auto"/>
            </w:tcBorders>
            <w:hideMark/>
          </w:tcPr>
          <w:p>
            <w:pPr>
              <w:pStyle w:val="style0"/>
              <w:jc w:val="both"/>
              <w:rPr>
                <w:b/>
                <w:color w:val="000000"/>
              </w:rPr>
            </w:pPr>
            <w:r>
              <w:rPr>
                <w:b/>
                <w:color w:val="000000"/>
              </w:rPr>
              <w:t>Голосовали</w:t>
            </w:r>
          </w:p>
        </w:tc>
        <w:tc>
          <w:tcPr>
            <w:tcW w:w="553" w:type="dxa"/>
            <w:tcBorders>
              <w:top w:val="single" w:sz="4" w:space="0" w:color="auto"/>
              <w:left w:val="single" w:sz="4" w:space="0" w:color="auto"/>
              <w:bottom w:val="single" w:sz="4" w:space="0" w:color="auto"/>
              <w:right w:val="single" w:sz="4" w:space="0" w:color="auto"/>
            </w:tcBorders>
            <w:hideMark/>
          </w:tcPr>
          <w:p>
            <w:pPr>
              <w:pStyle w:val="style0"/>
              <w:jc w:val="both"/>
              <w:rPr>
                <w:b/>
                <w:color w:val="000000"/>
              </w:rPr>
            </w:pPr>
            <w:r>
              <w:rPr>
                <w:b/>
                <w:color w:val="000000"/>
              </w:rPr>
              <w:t>ЗА</w:t>
            </w:r>
          </w:p>
        </w:tc>
        <w:tc>
          <w:tcPr>
            <w:tcW w:w="1558" w:type="dxa"/>
            <w:tcBorders>
              <w:top w:val="single" w:sz="4" w:space="0" w:color="auto"/>
              <w:left w:val="single" w:sz="4" w:space="0" w:color="auto"/>
              <w:bottom w:val="single" w:sz="4" w:space="0" w:color="auto"/>
              <w:right w:val="single" w:sz="4" w:space="0" w:color="auto"/>
            </w:tcBorders>
            <w:hideMark/>
          </w:tcPr>
          <w:p>
            <w:pPr>
              <w:pStyle w:val="style0"/>
              <w:jc w:val="both"/>
              <w:rPr>
                <w:b/>
                <w:color w:val="000000"/>
              </w:rPr>
            </w:pPr>
            <w:r>
              <w:rPr>
                <w:b/>
                <w:color w:val="000000"/>
              </w:rPr>
              <w:t>81 964</w:t>
            </w:r>
          </w:p>
        </w:tc>
        <w:tc>
          <w:tcPr>
            <w:tcW w:w="1201" w:type="dxa"/>
            <w:tcBorders>
              <w:top w:val="single" w:sz="4" w:space="0" w:color="auto"/>
              <w:left w:val="single" w:sz="4" w:space="0" w:color="auto"/>
              <w:bottom w:val="single" w:sz="4" w:space="0" w:color="auto"/>
              <w:right w:val="single" w:sz="4" w:space="0" w:color="auto"/>
            </w:tcBorders>
            <w:hideMark/>
          </w:tcPr>
          <w:p>
            <w:pPr>
              <w:pStyle w:val="style0"/>
              <w:jc w:val="both"/>
              <w:rPr>
                <w:b/>
                <w:color w:val="000000"/>
              </w:rPr>
            </w:pPr>
            <w:r>
              <w:rPr>
                <w:b/>
                <w:color w:val="000000"/>
              </w:rPr>
              <w:t>ПРОТИВ</w:t>
            </w:r>
          </w:p>
        </w:tc>
        <w:tc>
          <w:tcPr>
            <w:tcW w:w="1362" w:type="dxa"/>
            <w:tcBorders>
              <w:top w:val="single" w:sz="4" w:space="0" w:color="auto"/>
              <w:left w:val="single" w:sz="4" w:space="0" w:color="auto"/>
              <w:bottom w:val="single" w:sz="4" w:space="0" w:color="auto"/>
              <w:right w:val="single" w:sz="4" w:space="0" w:color="auto"/>
            </w:tcBorders>
            <w:hideMark/>
          </w:tcPr>
          <w:p>
            <w:pPr>
              <w:pStyle w:val="style0"/>
              <w:jc w:val="both"/>
              <w:rPr>
                <w:b/>
                <w:color w:val="000000"/>
              </w:rPr>
            </w:pPr>
            <w:r>
              <w:rPr>
                <w:b/>
                <w:color w:val="000000"/>
              </w:rPr>
              <w:t>20 603</w:t>
            </w:r>
          </w:p>
        </w:tc>
        <w:tc>
          <w:tcPr>
            <w:tcW w:w="2184" w:type="dxa"/>
            <w:tcBorders>
              <w:top w:val="single" w:sz="4" w:space="0" w:color="auto"/>
              <w:left w:val="single" w:sz="4" w:space="0" w:color="auto"/>
              <w:bottom w:val="single" w:sz="4" w:space="0" w:color="auto"/>
              <w:right w:val="single" w:sz="4" w:space="0" w:color="auto"/>
            </w:tcBorders>
            <w:hideMark/>
          </w:tcPr>
          <w:p>
            <w:pPr>
              <w:pStyle w:val="style0"/>
              <w:jc w:val="both"/>
              <w:rPr>
                <w:b/>
                <w:color w:val="000000"/>
              </w:rPr>
            </w:pPr>
            <w:r>
              <w:rPr>
                <w:b/>
                <w:color w:val="000000"/>
              </w:rPr>
              <w:t>ВОЗДЕРЖАЛИСЬ</w:t>
            </w:r>
          </w:p>
        </w:tc>
        <w:tc>
          <w:tcPr>
            <w:tcW w:w="1128" w:type="dxa"/>
            <w:tcBorders>
              <w:top w:val="single" w:sz="4" w:space="0" w:color="auto"/>
              <w:left w:val="single" w:sz="4" w:space="0" w:color="auto"/>
              <w:bottom w:val="single" w:sz="4" w:space="0" w:color="auto"/>
              <w:right w:val="single" w:sz="4" w:space="0" w:color="auto"/>
            </w:tcBorders>
            <w:hideMark/>
          </w:tcPr>
          <w:p>
            <w:pPr>
              <w:pStyle w:val="style0"/>
              <w:jc w:val="both"/>
              <w:rPr>
                <w:b/>
                <w:color w:val="000000"/>
              </w:rPr>
            </w:pPr>
            <w:r>
              <w:rPr>
                <w:b/>
                <w:color w:val="000000"/>
              </w:rPr>
              <w:t>0</w:t>
            </w:r>
          </w:p>
        </w:tc>
      </w:tr>
    </w:tbl>
    <w:p>
      <w:pPr>
        <w:pStyle w:val="style179"/>
        <w:spacing w:before="60"/>
        <w:ind w:left="0"/>
        <w:jc w:val="both"/>
        <w:rPr>
          <w:u w:val="single"/>
        </w:rPr>
      </w:pPr>
      <w:r>
        <w:rPr>
          <w:u w:val="single"/>
        </w:rPr>
        <w:t>РЕШЕНИЕ ПРИНЯТО</w:t>
      </w:r>
    </w:p>
    <w:p>
      <w:pPr>
        <w:pStyle w:val="style0"/>
        <w:jc w:val="both"/>
        <w:rPr>
          <w:i/>
          <w:lang w:eastAsia="en-US"/>
        </w:rPr>
      </w:pPr>
    </w:p>
    <w:p>
      <w:pPr>
        <w:pStyle w:val="style0"/>
        <w:tabs>
          <w:tab w:val="left" w:leader="none" w:pos="851"/>
          <w:tab w:val="left" w:leader="none" w:pos="1134"/>
        </w:tabs>
        <w:jc w:val="both"/>
        <w:rPr/>
      </w:pPr>
    </w:p>
    <w:p>
      <w:pPr>
        <w:pStyle w:val="style0"/>
        <w:tabs>
          <w:tab w:val="left" w:leader="none" w:pos="851"/>
          <w:tab w:val="left" w:leader="none" w:pos="1134"/>
        </w:tabs>
        <w:jc w:val="both"/>
        <w:rPr>
          <w:i/>
        </w:rPr>
      </w:pPr>
    </w:p>
    <w:p>
      <w:pPr>
        <w:pStyle w:val="style0"/>
        <w:tabs>
          <w:tab w:val="left" w:leader="none" w:pos="851"/>
          <w:tab w:val="left" w:leader="none" w:pos="1134"/>
        </w:tabs>
        <w:jc w:val="both"/>
        <w:rPr>
          <w:i/>
        </w:rPr>
      </w:pPr>
    </w:p>
    <w:tbl>
      <w:tblPr>
        <w:tblW w:w="0" w:type="auto"/>
        <w:tblLook w:val="04A0" w:firstRow="1" w:lastRow="0" w:firstColumn="1" w:lastColumn="0" w:noHBand="0" w:noVBand="1"/>
      </w:tblPr>
      <w:tblGrid>
        <w:gridCol w:w="4587"/>
        <w:gridCol w:w="4984"/>
      </w:tblGrid>
      <w:tr>
        <w:trPr>
          <w:trHeight w:val="538" w:hRule="atLeast"/>
        </w:trPr>
        <w:tc>
          <w:tcPr>
            <w:tcW w:w="4587" w:type="dxa"/>
            <w:tcBorders/>
          </w:tcPr>
          <w:p>
            <w:pPr>
              <w:pStyle w:val="style0"/>
              <w:rPr>
                <w:b/>
              </w:rPr>
            </w:pPr>
          </w:p>
        </w:tc>
        <w:tc>
          <w:tcPr>
            <w:tcW w:w="4984" w:type="dxa"/>
            <w:tcBorders/>
          </w:tcPr>
          <w:p>
            <w:pPr>
              <w:pStyle w:val="style0"/>
              <w:jc w:val="left"/>
              <w:rPr>
                <w:b/>
              </w:rPr>
            </w:pPr>
          </w:p>
        </w:tc>
      </w:tr>
      <w:tr>
        <w:tblPrEx/>
        <w:trPr>
          <w:trHeight w:val="697" w:hRule="atLeast"/>
        </w:trPr>
        <w:tc>
          <w:tcPr>
            <w:tcW w:w="4587" w:type="dxa"/>
            <w:tcBorders/>
            <w:vAlign w:val="bottom"/>
          </w:tcPr>
          <w:p>
            <w:pPr>
              <w:pStyle w:val="style0"/>
              <w:rPr>
                <w:b/>
              </w:rPr>
            </w:pPr>
          </w:p>
          <w:p>
            <w:pPr>
              <w:pStyle w:val="style0"/>
              <w:rPr>
                <w:b/>
              </w:rPr>
            </w:pPr>
          </w:p>
        </w:tc>
        <w:tc>
          <w:tcPr>
            <w:tcW w:w="4984" w:type="dxa"/>
            <w:tcBorders/>
            <w:vAlign w:val="bottom"/>
          </w:tcPr>
          <w:p>
            <w:pPr>
              <w:pStyle w:val="style0"/>
              <w:jc w:val="left"/>
              <w:rPr>
                <w:b/>
              </w:rPr>
            </w:pPr>
          </w:p>
          <w:p>
            <w:pPr>
              <w:pStyle w:val="style0"/>
              <w:jc w:val="left"/>
              <w:rPr>
                <w:b/>
              </w:rPr>
            </w:pPr>
          </w:p>
        </w:tc>
      </w:tr>
    </w:tbl>
    <w:p>
      <w:pPr>
        <w:pStyle w:val="style0"/>
        <w:jc w:val="both"/>
        <w:rPr>
          <w:color w:val="000000"/>
          <w:sz w:val="22"/>
          <w:szCs w:val="22"/>
        </w:rPr>
      </w:pPr>
    </w:p>
    <w:sectPr>
      <w:footerReference w:type="default" r:id="rId2"/>
      <w:pgSz w:w="11906" w:h="16838" w:orient="portrait"/>
      <w:pgMar w:top="993" w:right="707" w:bottom="993" w:left="1701"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2020404"/>
    <w:charset w:val="cc"/>
    <w:family w:val="modern"/>
    <w:pitch w:val="fixed"/>
    <w:sig w:usb0="E0002E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Tahoma">
    <w:altName w:val="Tahoma"/>
    <w:panose1 w:val="020b0604030005040204"/>
    <w:charset w:val="cc"/>
    <w:family w:val="swiss"/>
    <w:pitch w:val="variable"/>
    <w:sig w:usb0="E1002EFF" w:usb1="C000605B" w:usb2="00000029" w:usb3="00000000" w:csb0="000101FF" w:csb1="00000000"/>
  </w:font>
  <w:font w:name="Segoe UI">
    <w:altName w:val="Segoe UI"/>
    <w:panose1 w:val="020b0502040002020203"/>
    <w:charset w:val="cc"/>
    <w:family w:val="swiss"/>
    <w:pitch w:val="variable"/>
    <w:sig w:usb0="E4002EFF" w:usb1="C000E47F" w:usb2="00000009" w:usb3="00000000" w:csb0="000001FF" w:csb1="00000000"/>
  </w:font>
  <w:font w:name="Arial">
    <w:altName w:val="Arial"/>
    <w:panose1 w:val="020b0604020002020204"/>
    <w:charset w:val="cc"/>
    <w:family w:val="swiss"/>
    <w:pitch w:val="variable"/>
    <w:sig w:usb0="E0002EFF" w:usb1="C000785B" w:usb2="00000009" w:usb3="00000000" w:csb0="000001FF" w:csb1="00000000"/>
  </w:font>
  <w:font w:name="Calibri Light">
    <w:altName w:val="Calibri Light"/>
    <w:panose1 w:val="020f0302020002030204"/>
    <w:charset w:val="cc"/>
    <w:family w:val="swiss"/>
    <w:pitch w:val="variable"/>
    <w:sig w:usb0="A0002AEF" w:usb1="4000207B" w:usb2="00000000" w:usb3="00000000" w:csb0="000001FF" w:csb1="00000000"/>
  </w:font>
  <w:font w:name="Calibri">
    <w:altName w:val="Calibri"/>
    <w:panose1 w:val="020f0502020002030204"/>
    <w:charset w:val="cc"/>
    <w:family w:val="swiss"/>
    <w:pitch w:val="variable"/>
    <w:sig w:usb0="E0002AFF" w:usb1="4000ACFF" w:usb2="00000001"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PAGE   \* MERGEFORMAT</w:instrText>
    </w:r>
    <w:r>
      <w:rPr/>
      <w:fldChar w:fldCharType="separate"/>
    </w:r>
    <w:r>
      <w:rPr>
        <w:noProof/>
      </w:rPr>
      <w:t>6</w:t>
    </w:r>
    <w:r>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839EC4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0000001"/>
    <w:multiLevelType w:val="hybridMultilevel"/>
    <w:tmpl w:val="65140BA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0000002"/>
    <w:multiLevelType w:val="hybridMultilevel"/>
    <w:tmpl w:val="2E7E10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0000003"/>
    <w:multiLevelType w:val="hybridMultilevel"/>
    <w:tmpl w:val="40AC68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0000004"/>
    <w:multiLevelType w:val="hybridMultilevel"/>
    <w:tmpl w:val="3454D6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0000005"/>
    <w:multiLevelType w:val="hybridMultilevel"/>
    <w:tmpl w:val="96362D54"/>
    <w:lvl w:ilvl="0" w:tplc="63C01990">
      <w:start w:val="1"/>
      <w:numFmt w:val="decimal"/>
      <w:lvlText w:val="%1."/>
      <w:lvlJc w:val="left"/>
      <w:pPr>
        <w:ind w:left="2062" w:hanging="360"/>
      </w:pPr>
      <w:rPr>
        <w:rFonts w:hint="default"/>
        <w:b/>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6">
    <w:nsid w:val="00000006"/>
    <w:multiLevelType w:val="hybridMultilevel"/>
    <w:tmpl w:val="92CE55D4"/>
    <w:lvl w:ilvl="0" w:tplc="9B569EA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0000007"/>
    <w:multiLevelType w:val="hybridMultilevel"/>
    <w:tmpl w:val="839EC4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0000008"/>
    <w:multiLevelType w:val="hybridMultilevel"/>
    <w:tmpl w:val="FC4EE792"/>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nsid w:val="00000009"/>
    <w:multiLevelType w:val="hybridMultilevel"/>
    <w:tmpl w:val="3B045B7A"/>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0000000A"/>
    <w:multiLevelType w:val="hybridMultilevel"/>
    <w:tmpl w:val="CC603050"/>
    <w:lvl w:ilvl="0" w:tplc="E214A0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000000B"/>
    <w:multiLevelType w:val="multilevel"/>
    <w:tmpl w:val="89D645F0"/>
    <w:lvl w:ilvl="0">
      <w:start w:val="1"/>
      <w:numFmt w:val="decimal"/>
      <w:lvlText w:val="%1."/>
      <w:lvlJc w:val="left"/>
      <w:pPr>
        <w:tabs>
          <w:tab w:val="left" w:leader="none" w:pos="720"/>
        </w:tabs>
        <w:ind w:left="720" w:hanging="360"/>
      </w:pPr>
      <w:rPr>
        <w:rFonts w:cs="Times New Roman"/>
      </w:rPr>
    </w:lvl>
    <w:lvl w:ilvl="1" w:tentative="1">
      <w:start w:val="1"/>
      <w:numFmt w:val="decimal"/>
      <w:lvlText w:val="%2."/>
      <w:lvlJc w:val="left"/>
      <w:pPr>
        <w:tabs>
          <w:tab w:val="left" w:leader="none" w:pos="1440"/>
        </w:tabs>
        <w:ind w:left="1440" w:hanging="360"/>
      </w:pPr>
      <w:rPr>
        <w:rFonts w:cs="Times New Roman"/>
      </w:rPr>
    </w:lvl>
    <w:lvl w:ilvl="2" w:tentative="1">
      <w:start w:val="1"/>
      <w:numFmt w:val="decimal"/>
      <w:lvlText w:val="%3."/>
      <w:lvlJc w:val="left"/>
      <w:pPr>
        <w:tabs>
          <w:tab w:val="left" w:leader="none" w:pos="2160"/>
        </w:tabs>
        <w:ind w:left="2160" w:hanging="360"/>
      </w:pPr>
      <w:rPr>
        <w:rFonts w:cs="Times New Roman"/>
      </w:rPr>
    </w:lvl>
    <w:lvl w:ilvl="3" w:tentative="1">
      <w:start w:val="1"/>
      <w:numFmt w:val="decimal"/>
      <w:lvlText w:val="%4."/>
      <w:lvlJc w:val="left"/>
      <w:pPr>
        <w:tabs>
          <w:tab w:val="left" w:leader="none" w:pos="2880"/>
        </w:tabs>
        <w:ind w:left="2880" w:hanging="360"/>
      </w:pPr>
      <w:rPr>
        <w:rFonts w:cs="Times New Roman"/>
      </w:rPr>
    </w:lvl>
    <w:lvl w:ilvl="4" w:tentative="1">
      <w:start w:val="1"/>
      <w:numFmt w:val="decimal"/>
      <w:lvlText w:val="%5."/>
      <w:lvlJc w:val="left"/>
      <w:pPr>
        <w:tabs>
          <w:tab w:val="left" w:leader="none" w:pos="3600"/>
        </w:tabs>
        <w:ind w:left="3600" w:hanging="360"/>
      </w:pPr>
      <w:rPr>
        <w:rFonts w:cs="Times New Roman"/>
      </w:rPr>
    </w:lvl>
    <w:lvl w:ilvl="5" w:tentative="1">
      <w:start w:val="1"/>
      <w:numFmt w:val="decimal"/>
      <w:lvlText w:val="%6."/>
      <w:lvlJc w:val="left"/>
      <w:pPr>
        <w:tabs>
          <w:tab w:val="left" w:leader="none" w:pos="4320"/>
        </w:tabs>
        <w:ind w:left="4320" w:hanging="360"/>
      </w:pPr>
      <w:rPr>
        <w:rFonts w:cs="Times New Roman"/>
      </w:rPr>
    </w:lvl>
    <w:lvl w:ilvl="6" w:tentative="1">
      <w:start w:val="1"/>
      <w:numFmt w:val="decimal"/>
      <w:lvlText w:val="%7."/>
      <w:lvlJc w:val="left"/>
      <w:pPr>
        <w:tabs>
          <w:tab w:val="left" w:leader="none" w:pos="5040"/>
        </w:tabs>
        <w:ind w:left="5040" w:hanging="360"/>
      </w:pPr>
      <w:rPr>
        <w:rFonts w:cs="Times New Roman"/>
      </w:rPr>
    </w:lvl>
    <w:lvl w:ilvl="7" w:tentative="1">
      <w:start w:val="1"/>
      <w:numFmt w:val="decimal"/>
      <w:lvlText w:val="%8."/>
      <w:lvlJc w:val="left"/>
      <w:pPr>
        <w:tabs>
          <w:tab w:val="left" w:leader="none" w:pos="5760"/>
        </w:tabs>
        <w:ind w:left="5760" w:hanging="360"/>
      </w:pPr>
      <w:rPr>
        <w:rFonts w:cs="Times New Roman"/>
      </w:rPr>
    </w:lvl>
    <w:lvl w:ilvl="8" w:tentative="1">
      <w:start w:val="1"/>
      <w:numFmt w:val="decimal"/>
      <w:lvlText w:val="%9."/>
      <w:lvlJc w:val="left"/>
      <w:pPr>
        <w:tabs>
          <w:tab w:val="left" w:leader="none" w:pos="6480"/>
        </w:tabs>
        <w:ind w:left="6480" w:hanging="360"/>
      </w:pPr>
      <w:rPr>
        <w:rFonts w:cs="Times New Roman"/>
      </w:rPr>
    </w:lvl>
  </w:abstractNum>
  <w:abstractNum w:abstractNumId="12">
    <w:nsid w:val="0000000C"/>
    <w:multiLevelType w:val="hybridMultilevel"/>
    <w:tmpl w:val="A96075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0000000D"/>
    <w:multiLevelType w:val="hybridMultilevel"/>
    <w:tmpl w:val="1B68B8C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0000000E"/>
    <w:multiLevelType w:val="hybridMultilevel"/>
    <w:tmpl w:val="96362D54"/>
    <w:lvl w:ilvl="0" w:tplc="63C01990">
      <w:start w:val="1"/>
      <w:numFmt w:val="decimal"/>
      <w:lvlText w:val="%1."/>
      <w:lvlJc w:val="left"/>
      <w:pPr>
        <w:ind w:left="2062" w:hanging="360"/>
      </w:pPr>
      <w:rPr>
        <w:rFonts w:hint="default"/>
        <w:b/>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5">
    <w:nsid w:val="0000000F"/>
    <w:multiLevelType w:val="hybridMultilevel"/>
    <w:tmpl w:val="6EB0D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0000010"/>
    <w:multiLevelType w:val="hybridMultilevel"/>
    <w:tmpl w:val="AC48EA92"/>
    <w:lvl w:ilvl="0" w:tplc="9C64168A">
      <w:start w:val="1"/>
      <w:numFmt w:val="decimal"/>
      <w:lvlText w:val="%1."/>
      <w:lvlJc w:val="left"/>
      <w:pPr>
        <w:tabs>
          <w:tab w:val="left" w:leader="none" w:pos="502"/>
        </w:tabs>
        <w:ind w:left="502" w:hanging="360"/>
      </w:pPr>
      <w:rPr>
        <w:rFonts w:cs="Times New Roman" w:hint="default"/>
        <w:color w:val="000000"/>
      </w:rPr>
    </w:lvl>
    <w:lvl w:ilvl="1" w:tplc="04190019" w:tentative="1">
      <w:start w:val="1"/>
      <w:numFmt w:val="lowerLetter"/>
      <w:lvlText w:val="%2."/>
      <w:lvlJc w:val="left"/>
      <w:pPr>
        <w:tabs>
          <w:tab w:val="left" w:leader="none" w:pos="1222"/>
        </w:tabs>
        <w:ind w:left="1222" w:hanging="360"/>
      </w:pPr>
      <w:rPr>
        <w:rFonts w:cs="Times New Roman"/>
      </w:rPr>
    </w:lvl>
    <w:lvl w:ilvl="2" w:tplc="0419001B" w:tentative="1">
      <w:start w:val="1"/>
      <w:numFmt w:val="lowerRoman"/>
      <w:lvlText w:val="%3."/>
      <w:lvlJc w:val="right"/>
      <w:pPr>
        <w:tabs>
          <w:tab w:val="left" w:leader="none" w:pos="1942"/>
        </w:tabs>
        <w:ind w:left="1942" w:hanging="180"/>
      </w:pPr>
      <w:rPr>
        <w:rFonts w:cs="Times New Roman"/>
      </w:rPr>
    </w:lvl>
    <w:lvl w:ilvl="3" w:tplc="0419000F" w:tentative="1">
      <w:start w:val="1"/>
      <w:numFmt w:val="decimal"/>
      <w:lvlText w:val="%4."/>
      <w:lvlJc w:val="left"/>
      <w:pPr>
        <w:tabs>
          <w:tab w:val="left" w:leader="none" w:pos="2662"/>
        </w:tabs>
        <w:ind w:left="2662" w:hanging="360"/>
      </w:pPr>
      <w:rPr>
        <w:rFonts w:cs="Times New Roman"/>
      </w:rPr>
    </w:lvl>
    <w:lvl w:ilvl="4" w:tplc="04190019" w:tentative="1">
      <w:start w:val="1"/>
      <w:numFmt w:val="lowerLetter"/>
      <w:lvlText w:val="%5."/>
      <w:lvlJc w:val="left"/>
      <w:pPr>
        <w:tabs>
          <w:tab w:val="left" w:leader="none" w:pos="3382"/>
        </w:tabs>
        <w:ind w:left="3382" w:hanging="360"/>
      </w:pPr>
      <w:rPr>
        <w:rFonts w:cs="Times New Roman"/>
      </w:rPr>
    </w:lvl>
    <w:lvl w:ilvl="5" w:tplc="0419001B" w:tentative="1">
      <w:start w:val="1"/>
      <w:numFmt w:val="lowerRoman"/>
      <w:lvlText w:val="%6."/>
      <w:lvlJc w:val="right"/>
      <w:pPr>
        <w:tabs>
          <w:tab w:val="left" w:leader="none" w:pos="4102"/>
        </w:tabs>
        <w:ind w:left="4102" w:hanging="180"/>
      </w:pPr>
      <w:rPr>
        <w:rFonts w:cs="Times New Roman"/>
      </w:rPr>
    </w:lvl>
    <w:lvl w:ilvl="6" w:tplc="0419000F" w:tentative="1">
      <w:start w:val="1"/>
      <w:numFmt w:val="decimal"/>
      <w:lvlText w:val="%7."/>
      <w:lvlJc w:val="left"/>
      <w:pPr>
        <w:tabs>
          <w:tab w:val="left" w:leader="none" w:pos="4822"/>
        </w:tabs>
        <w:ind w:left="4822" w:hanging="360"/>
      </w:pPr>
      <w:rPr>
        <w:rFonts w:cs="Times New Roman"/>
      </w:rPr>
    </w:lvl>
    <w:lvl w:ilvl="7" w:tplc="04190019" w:tentative="1">
      <w:start w:val="1"/>
      <w:numFmt w:val="lowerLetter"/>
      <w:lvlText w:val="%8."/>
      <w:lvlJc w:val="left"/>
      <w:pPr>
        <w:tabs>
          <w:tab w:val="left" w:leader="none" w:pos="5542"/>
        </w:tabs>
        <w:ind w:left="5542" w:hanging="360"/>
      </w:pPr>
      <w:rPr>
        <w:rFonts w:cs="Times New Roman"/>
      </w:rPr>
    </w:lvl>
    <w:lvl w:ilvl="8" w:tplc="0419001B" w:tentative="1">
      <w:start w:val="1"/>
      <w:numFmt w:val="lowerRoman"/>
      <w:lvlText w:val="%9."/>
      <w:lvlJc w:val="right"/>
      <w:pPr>
        <w:tabs>
          <w:tab w:val="left" w:leader="none" w:pos="6262"/>
        </w:tabs>
        <w:ind w:left="6262" w:hanging="180"/>
      </w:pPr>
      <w:rPr>
        <w:rFonts w:cs="Times New Roman"/>
      </w:rPr>
    </w:lvl>
  </w:abstractNum>
  <w:abstractNum w:abstractNumId="17">
    <w:nsid w:val="00000011"/>
    <w:multiLevelType w:val="hybridMultilevel"/>
    <w:tmpl w:val="40AC68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3"/>
  </w:num>
  <w:num w:numId="2">
    <w:abstractNumId w:val="15"/>
  </w:num>
  <w:num w:numId="3">
    <w:abstractNumId w:val="10"/>
  </w:num>
  <w:num w:numId="4">
    <w:abstractNumId w:val="16"/>
  </w:num>
  <w:num w:numId="5">
    <w:abstractNumId w:val="7"/>
  </w:num>
  <w:num w:numId="6">
    <w:abstractNumId w:val="2"/>
  </w:num>
  <w:num w:numId="7">
    <w:abstractNumId w:val="17"/>
  </w:num>
  <w:num w:numId="8">
    <w:abstractNumId w:val="14"/>
  </w:num>
  <w:num w:numId="9">
    <w:abstractNumId w:val="11"/>
  </w:num>
  <w:num w:numId="10">
    <w:abstractNumId w:val="3"/>
  </w:num>
  <w:num w:numId="11">
    <w:abstractNumId w:val="1"/>
  </w:num>
  <w:num w:numId="12">
    <w:abstractNumId w:val="6"/>
  </w:num>
  <w:num w:numId="13">
    <w:abstractNumId w:val="12"/>
  </w:num>
  <w:num w:numId="14">
    <w:abstractNumId w:val="9"/>
  </w:num>
  <w:num w:numId="15">
    <w:abstractNumId w:val="8"/>
  </w:num>
  <w:num w:numId="16">
    <w:abstractNumId w:val="5"/>
  </w:num>
  <w:num w:numId="17">
    <w:abstractNumId w:val="4"/>
  </w:num>
  <w:num w:numId="18">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708"/>
  <w:characterSpacingControl w:val="doNotCompress"/>
  <w:compat>
    <w:compatSetting w:name="compatibilityMode" w:uri="http://schemas.microsoft.com/office/word" w:val="12"/>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ru-RU" w:bidi="ar-SA" w:eastAsia="ru-RU"/>
      </w:rPr>
    </w:rPrDefault>
    <w:pPrDefault>
      <w:pPr/>
    </w:pPrDefault>
  </w:docDefaults>
  <w:style w:type="paragraph" w:default="1" w:styleId="style0">
    <w:name w:val="Normal"/>
    <w:next w:val="style0"/>
    <w:qFormat/>
    <w:pPr/>
    <w:rPr>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Ii?iaeuiue"/>
    <w:next w:val="style4097"/>
    <w:pPr>
      <w:autoSpaceDE w:val="false"/>
      <w:autoSpaceDN w:val="false"/>
    </w:pPr>
    <w:rPr/>
  </w:style>
  <w:style w:type="character" w:styleId="style85">
    <w:name w:val="Hyperlink"/>
    <w:basedOn w:val="style65"/>
    <w:next w:val="style85"/>
    <w:uiPriority w:val="99"/>
    <w:rPr>
      <w:rFonts w:cs="Times New Roman"/>
      <w:color w:val="0000ff"/>
      <w:u w:val="single"/>
    </w:rPr>
  </w:style>
  <w:style w:type="paragraph" w:styleId="style153">
    <w:name w:val="Balloon Text"/>
    <w:basedOn w:val="style0"/>
    <w:next w:val="style153"/>
    <w:link w:val="style4098"/>
    <w:uiPriority w:val="99"/>
    <w:pPr/>
    <w:rPr>
      <w:rFonts w:ascii="Tahoma" w:cs="Tahoma" w:hAnsi="Tahoma"/>
      <w:sz w:val="16"/>
      <w:szCs w:val="16"/>
    </w:rPr>
  </w:style>
  <w:style w:type="character" w:customStyle="1" w:styleId="style4098">
    <w:name w:val="Текст выноски Знак"/>
    <w:basedOn w:val="style65"/>
    <w:next w:val="style4098"/>
    <w:link w:val="style153"/>
    <w:uiPriority w:val="99"/>
    <w:rPr>
      <w:rFonts w:ascii="Segoe UI" w:cs="Segoe UI" w:hAnsi="Segoe UI"/>
      <w:sz w:val="18"/>
      <w:szCs w:val="18"/>
    </w:rPr>
  </w:style>
  <w:style w:type="paragraph" w:styleId="style66">
    <w:name w:val="Body Text"/>
    <w:basedOn w:val="style0"/>
    <w:next w:val="style66"/>
    <w:link w:val="style4099"/>
    <w:uiPriority w:val="99"/>
    <w:pPr>
      <w:spacing w:after="120"/>
    </w:pPr>
    <w:rPr/>
  </w:style>
  <w:style w:type="character" w:customStyle="1" w:styleId="style4099">
    <w:name w:val="Основной текст Знак"/>
    <w:basedOn w:val="style65"/>
    <w:next w:val="style4099"/>
    <w:link w:val="style66"/>
    <w:uiPriority w:val="99"/>
    <w:rPr>
      <w:rFonts w:cs="Times New Roman"/>
      <w:sz w:val="24"/>
    </w:rPr>
  </w:style>
  <w:style w:type="table" w:styleId="style154">
    <w:name w:val="Table Grid"/>
    <w:basedOn w:val="style105"/>
    <w:next w:val="style154"/>
    <w:uiPriority w:val="5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31">
    <w:name w:val="header"/>
    <w:basedOn w:val="style0"/>
    <w:next w:val="style31"/>
    <w:link w:val="style4100"/>
    <w:uiPriority w:val="99"/>
    <w:pPr>
      <w:tabs>
        <w:tab w:val="center" w:leader="none" w:pos="4677"/>
        <w:tab w:val="right" w:leader="none" w:pos="9355"/>
      </w:tabs>
    </w:pPr>
    <w:rPr/>
  </w:style>
  <w:style w:type="character" w:customStyle="1" w:styleId="style4100">
    <w:name w:val="Верхний колонтитул Знак"/>
    <w:basedOn w:val="style65"/>
    <w:next w:val="style4100"/>
    <w:link w:val="style31"/>
    <w:uiPriority w:val="99"/>
    <w:rPr>
      <w:rFonts w:cs="Times New Roman"/>
      <w:sz w:val="24"/>
    </w:rPr>
  </w:style>
  <w:style w:type="paragraph" w:styleId="style32">
    <w:name w:val="footer"/>
    <w:basedOn w:val="style0"/>
    <w:next w:val="style32"/>
    <w:link w:val="style4101"/>
    <w:uiPriority w:val="99"/>
    <w:pPr>
      <w:tabs>
        <w:tab w:val="center" w:leader="none" w:pos="4677"/>
        <w:tab w:val="right" w:leader="none" w:pos="9355"/>
      </w:tabs>
    </w:pPr>
    <w:rPr/>
  </w:style>
  <w:style w:type="character" w:customStyle="1" w:styleId="style4101">
    <w:name w:val="Нижний колонтитул Знак"/>
    <w:basedOn w:val="style65"/>
    <w:next w:val="style4101"/>
    <w:link w:val="style32"/>
    <w:uiPriority w:val="99"/>
    <w:rPr>
      <w:rFonts w:cs="Times New Roman"/>
      <w:sz w:val="24"/>
    </w:rPr>
  </w:style>
  <w:style w:type="paragraph" w:styleId="style67">
    <w:name w:val="Body Text Indent"/>
    <w:basedOn w:val="style0"/>
    <w:next w:val="style67"/>
    <w:link w:val="style4102"/>
    <w:uiPriority w:val="99"/>
    <w:pPr>
      <w:spacing w:after="120"/>
      <w:ind w:left="283"/>
    </w:pPr>
    <w:rPr/>
  </w:style>
  <w:style w:type="character" w:customStyle="1" w:styleId="style4102">
    <w:name w:val="Основной текст с отступом Знак"/>
    <w:basedOn w:val="style65"/>
    <w:next w:val="style4102"/>
    <w:link w:val="style67"/>
    <w:uiPriority w:val="99"/>
    <w:rPr>
      <w:rFonts w:cs="Times New Roman"/>
      <w:sz w:val="24"/>
    </w:rPr>
  </w:style>
  <w:style w:type="character" w:styleId="style39">
    <w:name w:val="annotation reference"/>
    <w:basedOn w:val="style65"/>
    <w:next w:val="style39"/>
    <w:uiPriority w:val="99"/>
    <w:rPr>
      <w:rFonts w:cs="Times New Roman"/>
      <w:sz w:val="16"/>
    </w:rPr>
  </w:style>
  <w:style w:type="paragraph" w:styleId="style30">
    <w:name w:val="annotation text"/>
    <w:basedOn w:val="style0"/>
    <w:next w:val="style30"/>
    <w:link w:val="style4103"/>
    <w:uiPriority w:val="99"/>
    <w:pPr/>
    <w:rPr>
      <w:sz w:val="20"/>
      <w:szCs w:val="20"/>
    </w:rPr>
  </w:style>
  <w:style w:type="character" w:customStyle="1" w:styleId="style4103">
    <w:name w:val="Текст примечания Знак"/>
    <w:basedOn w:val="style65"/>
    <w:next w:val="style4103"/>
    <w:link w:val="style30"/>
    <w:uiPriority w:val="99"/>
    <w:rPr>
      <w:rFonts w:cs="Times New Roman"/>
    </w:rPr>
  </w:style>
  <w:style w:type="paragraph" w:styleId="style106">
    <w:name w:val="annotation subject"/>
    <w:basedOn w:val="style30"/>
    <w:next w:val="style30"/>
    <w:link w:val="style4104"/>
    <w:uiPriority w:val="99"/>
    <w:pPr/>
    <w:rPr>
      <w:b/>
      <w:bCs/>
    </w:rPr>
  </w:style>
  <w:style w:type="character" w:customStyle="1" w:styleId="style4104">
    <w:name w:val="Тема примечания Знак"/>
    <w:basedOn w:val="style4103"/>
    <w:next w:val="style4104"/>
    <w:link w:val="style106"/>
    <w:uiPriority w:val="99"/>
    <w:rPr>
      <w:rFonts w:cs="Times New Roman"/>
      <w:b/>
    </w:rPr>
  </w:style>
  <w:style w:type="paragraph" w:customStyle="1" w:styleId="style4105">
    <w:name w:val="Body Text 31"/>
    <w:basedOn w:val="style0"/>
    <w:next w:val="style4105"/>
    <w:pPr>
      <w:autoSpaceDE w:val="false"/>
      <w:autoSpaceDN w:val="false"/>
      <w:jc w:val="both"/>
    </w:pPr>
    <w:rPr>
      <w:rFonts w:ascii="Arial" w:cs="Arial" w:hAnsi="Arial"/>
      <w:sz w:val="20"/>
      <w:szCs w:val="20"/>
    </w:rPr>
  </w:style>
  <w:style w:type="paragraph" w:customStyle="1" w:styleId="style4106">
    <w:name w:val="m_-6583198740912676090msolistparagraph"/>
    <w:basedOn w:val="style0"/>
    <w:next w:val="style4106"/>
    <w:pPr>
      <w:spacing w:before="100" w:beforeAutospacing="true" w:after="100" w:afterAutospacing="true"/>
    </w:pPr>
    <w:rPr/>
  </w:style>
  <w:style w:type="paragraph" w:styleId="style179">
    <w:name w:val="List Paragraph"/>
    <w:basedOn w:val="style0"/>
    <w:next w:val="style179"/>
    <w:qFormat/>
    <w:uiPriority w:val="34"/>
    <w:pPr>
      <w:ind w:left="720"/>
      <w:contextualSpacing/>
    </w:pPr>
    <w:rPr/>
  </w:style>
  <w:style w:type="paragraph" w:styleId="style94">
    <w:name w:val="Normal (Web)"/>
    <w:basedOn w:val="style0"/>
    <w:next w:val="style94"/>
    <w:uiPriority w:val="99"/>
    <w:pPr>
      <w:suppressAutoHyphens/>
      <w:spacing w:before="280" w:after="280"/>
    </w:pPr>
    <w:rPr>
      <w:lang w:eastAsia="ar-SA"/>
    </w:rPr>
  </w:style>
</w:styles>
</file>

<file path=word/_rels/document.xml.rels><?xml version="1.0" encoding="UTF-8"?>
<Relationships xmlns="http://schemas.openxmlformats.org/package/2006/relationships"><Relationship Id="rId2" Type="http://schemas.openxmlformats.org/officeDocument/2006/relationships/footer" Target="footer1.xml"/><Relationship Id="rId3" Type="http://schemas.openxmlformats.org/officeDocument/2006/relationships/styles" Target="styles.xml"/><Relationship Id="rId5"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Words>783</Words>
  <Pages>3</Pages>
  <Characters>5095</Characters>
  <Application>WPS Office</Application>
  <DocSecurity>0</DocSecurity>
  <Paragraphs>91</Paragraphs>
  <ScaleCrop>false</ScaleCrop>
  <Company>Alice</Company>
  <LinksUpToDate>false</LinksUpToDate>
  <CharactersWithSpaces>5844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2021-01-15T15:58:00Z</dcterms:created>
  <dc:creator>v.mkrtycheva</dc:creator>
  <lastModifiedBy>Redmi 4</lastModifiedBy>
  <lastPrinted>2016-06-10T07:23:00Z</lastPrinted>
  <dcterms:modified xsi:type="dcterms:W3CDTF">2021-01-20T06:37:38Z</dcterms:modified>
  <revision>7</revision>
  <dc:title>ПРОТОКОЛ №2</dc:title>
</coreProperties>
</file>

<file path=docProps/custom.xml><?xml version="1.0" encoding="utf-8"?>
<Properties xmlns="http://schemas.openxmlformats.org/officeDocument/2006/custom-properties" xmlns:vt="http://schemas.openxmlformats.org/officeDocument/2006/docPropsVTypes"/>
</file>